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OLC 62-800</w:t>
      </w:r>
    </w:p>
    <w:p w:rsidR="00000000" w:rsidDel="00000000" w:rsidP="00000000" w:rsidRDefault="00000000" w:rsidRPr="00000000" w14:paraId="00000002">
      <w:pPr>
        <w:spacing w:after="0" w:line="240" w:lineRule="auto"/>
        <w:ind w:left="6480" w:firstLine="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 11-19-25</w:t>
      </w:r>
    </w:p>
    <w:p w:rsidR="00000000" w:rsidDel="00000000" w:rsidP="00000000" w:rsidRDefault="00000000" w:rsidRPr="00000000" w14:paraId="00000003">
      <w:pPr>
        <w:spacing w:after="0" w:line="240" w:lineRule="auto"/>
        <w:ind w:left="648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Fonts w:ascii="Times New Roman" w:cs="Times New Roman" w:eastAsia="Times New Roman" w:hAnsi="Times New Roman"/>
          <w:b w:val="1"/>
          <w:bCs w:val="1"/>
          <w:rtl w:val="0"/>
        </w:rPr>
        <w:t xml:space="preserve">OGLALA LAKOTA COLLEGE EMPLOYEE REASONABLE ACCOMMODATION POLICY AND PROCEDURES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and applicants for employment with disabilities may request and obtain reasonable accommodations using the procedures set forth in this section. OLC complies with the requirements of 42 U.S.C. § 12101 et seq. regarding reasonable accommodations for qualified individuals with disabilities. OLC shall make reasonable accommodation to the known physical or mental limitations of an otherwise qualified applicant or employee with a disability unless OLC determines that the accommodation would impose an undue hardship on the OLC’s operations. OLC may not deny employment to a qualified employee or applicant with a disability if the basis for the denial is the need to make reasonable accommodation to the physical or mental limitations of the employee or applicant. The procedures set forth below describe the documentation that must be submitted to document a disability and support a request for reasonable accommodation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documentation from a qualified health care professional, the process for approving accommodation, and the appeal procedures available if an accommodation request is denied.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w:t>
        <w:tab/>
        <w:t xml:space="preserve">Definitions: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Qualified Individual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term “qualified individual” means an individual who, with or without reasonable accommodation, can perform the essential functions of the employment position that such individual holds or applies for. For the purposes of this policy, consideration shall be given to OLC’s judgment as to what functions of a job are essential, and if OLC has prepared a written description before advertising or interviewing applicants for the job, this description shall be considered evidence of the essential functions of the job.</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term “disability” means: a physical or mental impairment that substantially limits one or more major life activities of an individual. OLC may request evidence confirming the existence of the impairment, such as confirmation from a qualified health professional that an impairment exists. Any impairment that is expected to last less than 6 (six) months is not a disability for purposes of this policy. An impairment that is episodic or in remission is a disability if it would substantially limit a major life activity when active.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Reasonable Accommodation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reasonable accommodation is a change in an employee’s work environment or work schedule that is necessary for the employee to successfully perform the essential functions of the job they are hired to perform when it is determined that the accommodation does not cause undue hardship to OLC. </w:t>
      </w:r>
      <w:r w:rsidDel="00000000" w:rsidR="00000000" w:rsidRPr="00000000">
        <w:rPr>
          <w:rFonts w:ascii="Times New Roman" w:cs="Times New Roman" w:eastAsia="Times New Roman" w:hAnsi="Times New Roman"/>
          <w:b w:val="0"/>
          <w:bCs w:val="0"/>
          <w:i w:val="0"/>
          <w:iCs w:val="0"/>
          <w:smallCaps w:val="0"/>
          <w:strike w:val="0"/>
          <w:color w:val="ee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reasonable accommodation may include, but is not limited to: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Making existing facilities used by employees readily accessible to and usable by individuals with disabilities, and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Acquisition or modification of work equipment or devices, training materials, policies, the provision of qualified readers or interpreters, and other similar reasonable accommodations for individuals with disabilities; and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Job restructuring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Temporary change from </w:t>
      </w:r>
      <w:r w:rsidDel="00000000" w:rsidR="00000000" w:rsidRPr="00000000">
        <w:rPr>
          <w:rFonts w:ascii="Times New Roman" w:cs="Times New Roman" w:eastAsia="Times New Roman" w:hAnsi="Times New Roman"/>
          <w:rtl w:val="0"/>
        </w:rPr>
        <w:t xml:space="preserve">full-time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rtl w:val="0"/>
        </w:rPr>
        <w:t xml:space="preserve">part-time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modified work schedules, reassignment to a vacant position.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Undue Hardship: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term “undue hardship” means an action requiring significant difficulty or expense, when considered in light of the following factors: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nature and cost of the accommodation needed.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overall financial resources of the facility making the reasonable accommodation; the number of persons employed at this facility; the effect on expenses and resources of the facility.</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overall financial resources, size, number of employees, and type and location of facilities of the employer (if the facility involved in the reasonable accommodation is part of a larger entity).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type of operation of the employer, including the structure and functions of the workforce, the geographic separateness, and the administrative or fiscal relationship of the facility involved in making the accommodation to the employer.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impact of the accommodation on the operation of the facility.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Emotional Support Animal (ESA)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emotional support animal is any animal that provides emotional support alleviating one or more symptoms or effects of a person’s disability. </w:t>
      </w:r>
      <w:r w:rsidDel="00000000" w:rsidR="00000000" w:rsidRPr="00000000">
        <w:rPr>
          <w:rFonts w:ascii="Times New Roman" w:cs="Times New Roman" w:eastAsia="Times New Roman" w:hAnsi="Times New Roman"/>
          <w:rtl w:val="0"/>
        </w:rPr>
        <w:t xml:space="preserve">ESAs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 not have special training to perform tasks that assist people with disabilities. ESAs are not service animals under the American with Disabilities Act (ADA). </w:t>
      </w:r>
      <w:r w:rsidDel="00000000" w:rsidR="00000000" w:rsidRPr="00000000">
        <w:rPr>
          <w:rFonts w:ascii="Times New Roman" w:cs="Times New Roman" w:eastAsia="Times New Roman" w:hAnsi="Times New Roman"/>
          <w:rtl w:val="0"/>
        </w:rPr>
        <w:t xml:space="preserve">Prior approval must be obtained pursuant to the procedures for requesting approval of an ESA set forth below.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Service 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Service animals are defined under the ADA as any dog that is individually trained to do work or perform tasks for the benefit of an individual with a disability, including a physical, sensory, psychiatric, intellectual, or other mental disability. Tasks performed can include, among other things, pulling a wheelchair, retrieving dropped items, alerting a person to sound, reminding a person to take medication, or pressing an elevator button. Examples of service animals include: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Guide Dog or Seeing Dog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carefully trained dog that serves as a travel tool for persons who have severe visual impairments or are blind.</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Hearing or Signal Dog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dog that has been trained to alert a person who has a significant hearing loss or is deaf when sound occurs.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Psychiatric Service Dog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dog that has been trained to perform tasks that assist individuals with disabilities to detect the onset of psychiatric episodes and lessen their effects.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Sensory signal dog or social signal dog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dog trained to assist an autistic person or their caregiver.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Seizure Response Dog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dog trained to assist a person with a seizure disorder.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Therapy 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Therapy animals provide people with healing contact, typically in an institutional or clinical setting, to improve their physical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social, emotional, or cognitive functioning. Therapy animals are not considered service animals under the ADA. OLC does not permit therapy animals on OLC </w:t>
      </w:r>
      <w:r w:rsidDel="00000000" w:rsidR="00000000" w:rsidRPr="00000000">
        <w:rPr>
          <w:rFonts w:ascii="Times New Roman" w:cs="Times New Roman" w:eastAsia="Times New Roman" w:hAnsi="Times New Roman"/>
          <w:rtl w:val="0"/>
        </w:rPr>
        <w:t xml:space="preserve">facilities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employee who has an approved ESA in the workplace and/or in OLC housing.</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Handler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person with a disability that a service animal assists or a personal care attendant who handles the animal for a person with a disability in the workplace and/or in OLC housing.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w:t>
        <w:tab/>
        <w:t xml:space="preserve">Procedures for Requesting Reasonable Accommodations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employee or applicant for employment may request a reasonable accommodation by filing a written request with the proper attached documentation required as set forth below to the Personnel Director. The request should include: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description of the nature of the disability and documentation from a qualified health care professional that the individual does have a disability and </w:t>
      </w:r>
      <w:r w:rsidDel="00000000" w:rsidR="00000000" w:rsidRPr="00000000">
        <w:rPr>
          <w:rFonts w:ascii="Times New Roman" w:cs="Times New Roman" w:eastAsia="Times New Roman" w:hAnsi="Times New Roman"/>
          <w:rtl w:val="0"/>
        </w:rPr>
        <w:t xml:space="preserve">suggested reasonable accommodations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statement from a health care provider meets this requirement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reasonable accommodation(s) requested by the employee or applicant</w:t>
      </w:r>
      <w:r w:rsidDel="00000000" w:rsidR="00000000" w:rsidRPr="00000000">
        <w:rPr>
          <w:rFonts w:ascii="Times New Roman" w:cs="Times New Roman" w:eastAsia="Times New Roman" w:hAnsi="Times New Roman"/>
          <w:rtl w:val="0"/>
        </w:rPr>
        <w:t xml:space="preserve">. 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here it is not obvious how the accommodation requested is necessary to permit the employee or applicant to perform the essential job functions, documentation from a qualified health care </w:t>
      </w:r>
      <w:r w:rsidDel="00000000" w:rsidR="00000000" w:rsidRPr="00000000">
        <w:rPr>
          <w:rFonts w:ascii="Times New Roman" w:cs="Times New Roman" w:eastAsia="Times New Roman" w:hAnsi="Times New Roman"/>
          <w:rtl w:val="0"/>
        </w:rPr>
        <w:t xml:space="preserve">professional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can be requested by OLC.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Personnel Director will meet with the Disabilities Services Coordinator within five (5) working days of the date an individual files a request for reasonable accommodation. The Personnel Director and the Disabilities Services Coordinator will review</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job description and essential job functions, and the impact of the requested accommodation on the OLC’s operations.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Personnel Director and the Disabilities Services Coordinator may request a meeting with the individual to engage in an interactive process of sharing information needed for OLC to make a decision on the reasonable accommodation requested, and to explore any other possible reasonable accommodations that may assist the applicant in their ability to perform the essential job functions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Immediate Supervisor of the employee or applicant for employment may be included in the meetings if the Personnel Director and the Disabilities Services Coordinator determine their participation is essential to make a decision on the request.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Within seven (7) working days of the date the reasonable accommodation request is filed, the Disabilities Services Coordinator will make a decision to grant or deny the reasonable accommodation requested.  OLC may also consider alternative accommodations if the accommodation requested is determined to pose an undue hardship, but an alternative accommodation would meet the needs of the applicant or employee and would not cause an undue hardship. OLC will provide reasonable accommodations for qualified applicants or employees with known physical or mental disabilities, unless doing so would cause an undue hardship on OLC’s operations.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an employee or applicant for employment requesting the reasonable accommodation is not satisfied with the decision on their request, they have the right to file an informal grievance on the decision to the Personnel Director pursuant to the Employee Complaints and Grievance Procedures set forth in 65-500-1(B)(1) and the right to an Appeal as set forth in 65-500-1(B)(2). For purposes of this Policy, the Personnel Director is the person an appeal must be filed with under OLC Policy 65-500-1(B)(1)  – not the Immediate Supervisor.</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Copies of requests for reasonable accommodation and documentation of the decision shall be maintained in a separate section of the Personnel file that is only accessible to the Personnel Office.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w:t>
        <w:tab/>
        <w:t xml:space="preserve">Specific Procedures for Service Animals and Emotional Support Animals </w:t>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OLC supports the use of service animals and ESAs on campus by individuals with disabilities in appropriate circumstances and in accordance with this policy. Employees with questions about the use of service animals or ESAs should refer to this policy and/or contact the Personnel Director or the Disabilities Services Coordinator. </w:t>
      </w:r>
    </w:p>
    <w:p w:rsidR="00000000" w:rsidDel="00000000" w:rsidP="00000000" w:rsidRDefault="00000000" w:rsidRPr="00000000" w14:paraId="000000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Service Animals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Individuals who wish to bring a service animal to campus including classrooms, administrative buildings, the library, and other buildings that are open to the public, are required by the ADA, to notify the Personnel Director and Disabilities Services Coordinator in writing at least thirty (30) days prior to bringing the service animal to campus. Documentation must be provided demonstrating that the individual is a person with a disability, the nature of the disability, and a request for reasonable accommodation that includes a description of how the service animal or ESA enables the employee to perform essential job functions. The individual must also file documentation on the animal including the type of animal, the designation of the animal (service animal or ESA), and for service animals, documentation of the training the service animal has been trained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related to the individual’s disability. Records may also be requested regarding the service animal’s behavior and how the animal assists the individual in the workplace.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the ADA, if the disability is not obvious and/or the reason the animal is needed is not clear, OLC may request documentation to establish the existence of a disability and how the animal helps the individual perform his or her job.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OLC will document the approval of a Service Animal through the reasonable accommodation process in a written reasonable accommodation plan.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Emotional Support Animals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 to the Reasonable Accommodation Procedure set out above. Individuals who wish to bring an ESA to campus including classrooms, administrative buildings, the library, and other buildings that are open to the public, are required to notify the Personnel Director and Disabilities Services Coordinator in writing at least thirty (30) days prior to bringing the service animal to campus. Documentation must be provided demonstrating that the individual is a person with a disability, the nature of the disability, and a request for reasonable accommodation that includes a description of how the service animal or ESA enables the employee to perform essential job functions. The individual must also file documentation on the animal including the type of animal, the designation of the animal (service animal or ESA). Records may also be requested regarding the service animal’s behavior and how the animal assists the individual in the workplace.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Disabilities Service Coordinator will determine whether approving a particular ESA in the workplace is a reasonable accommodation that will enable the employee to perform the essential functions of the position. The Disabilities Service Coordination will consult with the Personnel Director in making a decision. What constitutes a reasonable accommodation will vary depending on the circumstances of each case. In evaluating alternatives for accommodation, the preferences of the employee are considered, but the ultimate decision regarding the type of accommodation, if any, is made by the Disabilities Service Coordinator in consultation with the Personnel Director.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the ADA, if the disability is not obvious and/or the reason the animal is needed is not clear, OLC may request documentation to establish the existence of a disability and how the animal helps the individual perform his or her job.</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OLC will document the approval of an ESA through the reasonable accommodation process in a written reasonable accommodation plan.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Service Animals in Training</w:t>
      </w:r>
      <w:r w:rsidDel="00000000" w:rsidR="00000000" w:rsidRPr="00000000">
        <w:rPr>
          <w:rtl w:val="0"/>
        </w:rPr>
      </w:r>
    </w:p>
    <w:p w:rsidR="00000000" w:rsidDel="00000000" w:rsidP="00000000" w:rsidRDefault="00000000" w:rsidRPr="00000000" w14:paraId="0000005E">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animals in training are permitted on the same basis as working service animals, provided that the animal is on a leash, is being led or accompanied by a trainer for the purpose of training the animal, and the trainer has documentation confirming the trainer is affiliated with a recognized or certified service animal training organization. Service animals in training are not permitted in classrooms, offices, or other areas of campus buildings not open to the general public without prior approval obtained from the Disabilities Services Coordinator through the reasonable accommodation process.</w:t>
      </w:r>
    </w:p>
    <w:p w:rsidR="00000000" w:rsidDel="00000000" w:rsidP="00000000" w:rsidRDefault="00000000" w:rsidRPr="00000000" w14:paraId="000000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Standards for Disapproval/Removal of Service Animals and Emotional Support Animals.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Decision to disapprove or remove a service animal or an ESA will be made on a case-by-case basis, taking into account all surrounding circumstances. However, the following general standards provide reasons why an animal may be disapproved or removed: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animal poses a direct threat to the health or safety of others. Examples include: </w:t>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animal displays aggressive or vicious behavior towards others;</w:t>
      </w:r>
    </w:p>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animal substantially lacks cleanliness (for example, defecating or urinating in the facilities); </w:t>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animal has a serious illness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the animal’s presence compromises a sensitive area like a sterile medical treatment room, certain laboratories, or mechanical or industrial areas;</w:t>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animal’s presence poses a health risk to other employees or OLC students (for example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other employees or students have an allergy to the animal). </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causes or would cause substantial physical damage to OLC property or the property of others. </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poses an undue financial and/or administrative burden that is an undue hardship for OLC. </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would fundamentally alter the nature of the OLC’s educational or business operations.</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is not under the control of the handler/owner at all times, and the handler/owner does not take effective action to control it. If the out-of-control behavior happens, the handler/owner may be prohibited from bringing the animal into OLC facilities until the handler/owner can demonstrate that he/she has taken significant steps to mitigate the behavior. (For example, an animal is approved within the employee’s office space but not approved to be outside that office during the workday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 animal is found outside the office without the presence of the owner; and the a</w:t>
      </w:r>
      <w:r w:rsidDel="00000000" w:rsidR="00000000" w:rsidRPr="00000000">
        <w:rPr>
          <w:rFonts w:ascii="Times New Roman" w:cs="Times New Roman" w:eastAsia="Times New Roman" w:hAnsi="Times New Roman"/>
          <w:rtl w:val="0"/>
        </w:rPr>
        <w:t xml:space="preserve">nimal jumps on other employees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is not housebroken. </w:t>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handler/owner does not fulfill his/her responsibilities as outlined in this policy.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an animal has been removed pursuant to this policy, OLC will work with the handler/owner to determine reasonable alternative accommodations and to identify opportunities for the employee to participate in OLC’s services, programs, and activities without having the animal on the premises.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OLC has disapproved or removed an animal, the animal must be removed immediately from the OLC’s premises. Failure to comply with this requirement may result in disciplinary action.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Areas Off Limits to ESAs and Service Animals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ESAs are permitted only in the building(s) and specific areas of campus approved through the reasonable accommodation process. ESAs are not permitted in the specific areas of campus listed in subsection b.</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service animals are generally allowed to go anywhere on campus that the handler is allowed to go, there are certain areas where the presence of a service animal fundamentally alters the nature of a program or activity or is disruptive. Those areas are restricted to service animals. Examples of the areas that are off limits to service animals include: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Laboratories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natural organisms carried by service animals may negatively affect the outcome of the research. At the same time, the chemicals and/or organisms used in the research may be harmful to service animals.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Mechanical Rooms/Custodial Closets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Mechanical rooms, such as boiler rooms, facility equipment rooms, electric closets, elevator control rooms and custodial closets, are off limits to service animals. The machinery and/or chemicals in these rooms may be harmful to animals.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Food Preparation Areas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Food preparation areas are off limits to service animals per health codes.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Areas Where Protective Clothing is Necessary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room where protective clothing is worn is off-limits to service animals. Examples include chemistry laboratories, wood shops, and metal/machine shops.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Areas Where There is a Danger to the Service 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room, including a classroom, where there are sharp metal cuttings or other sharp objects on the floor or protruding from a surface; where there is hot material on the floor; where there is a high level of dust; or where there is moving machinery.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Questions regarding areas that are off limits to service animals should be directed to the Disabilities Service Coordinator. Exceptions may be granted in unique circumstances. Any exceptions granted will be documented in writing.</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Responsibilities of Handlers/Owners  -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Oglala Lakota College is not liable for any accident or injury resulting in damage to a service or ESA animal while on the OLC premises.  It is the responsibility of the Owner/Handler to provide care for the animal and to comply with the following requirements: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Laws, Ordinances, and Policies: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Handlers/owners are responsible for complying with all tribal laws and tribal animal ordinances and are subject to all OLC policies.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Proper Identification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animals are subject to tribal licensing and registration requirements.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Health and Vaccination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service animals and ESAs must be immunized against diseases common to that type of animal. All vaccinations must be current. Where applicable, a service animal or ESA must wear a rabies vaccination tag and; Dogs must be vaccinated against rabies, canine distemper virus, two types of adenoviruses that cause canine infectious hepatitis (names A, A2, or H), parainfluenza, and parvovirus. Felines must be vaccinated against rabies and feline panleukopenia. In the case of ESAs, vaccination documentation must be provided to the Disabilities Service Coordinator prior to the animal being allowed into any facilities.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Caring for the 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cost of care, arrangements and responsibilities for the </w:t>
      </w:r>
      <w:r w:rsidDel="00000000" w:rsidR="00000000" w:rsidRPr="00000000">
        <w:rPr>
          <w:rFonts w:ascii="Times New Roman" w:cs="Times New Roman" w:eastAsia="Times New Roman" w:hAnsi="Times New Roman"/>
          <w:rtl w:val="0"/>
        </w:rPr>
        <w:t xml:space="preserve">well-being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animal are the sole responsibility of the handler/owner at all times. OLC does not have responsibility for, and is not liable for, the care of any animal covered by this policy, or the results of any failure of the handler/owner to meet their responsibilities.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Animals must be kept clean and </w:t>
      </w:r>
      <w:r w:rsidDel="00000000" w:rsidR="00000000" w:rsidRPr="00000000">
        <w:rPr>
          <w:rFonts w:ascii="Times New Roman" w:cs="Times New Roman" w:eastAsia="Times New Roman" w:hAnsi="Times New Roman"/>
          <w:rtl w:val="0"/>
        </w:rPr>
        <w:t xml:space="preserve">well-groomed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OLC facilities must not be used to clean and groom the animal.</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Animals cannot be left unattended at any time. </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Animals cannot be confined to a vehicle, tethered, or abandoned at any time.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Keeping the Animal Under Control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animal must be fully controlled by the handler/owner, including responding to voice and/or hand commands (if this can reasonably be expected to maintain control of the type of animal at issue). If an animal is found loose or unattended, the animal is subject to immediate removal.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Being Responsible for Damage Caused by the 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Handlers/owners are personally responsible for any damage caused by their animals and must take appropriate precautions to prevent damage to property or other persons. The handler/owner will be required to pay for any damages caused by the animal.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Being Responsible for Waste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Cleaning up after the animal is the sole responsibility of the handler/owner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it must be done immediately. Waste must be bagged and discarded in designated outdoor receptacles. No waste may be flushed down toilets or discarded in interior waste bins. In the event that the handler/owner is not physically able to clean up after the animal, it is the responsibility of the handler/owner to hire someone capable of cleaning up after the animal.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Leash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Service animals must be on a leash at all times, unless the owner is unable to use a leash due to a disability or the use of the leash would interfere with the animal’s ability to perform its duties. In that case, the handler must be able to control the service animal by other effective means such as voice controls or signals. ESAs must be on a leash or in a carrier while on OLC property.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Observing Good Animal Etiquette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the greatest extent possible, the handler/owner should ensure that the animal does not display behaviors or make noises that are disruptive or frightening to others, unless it is part of the service being provided to the handler (e.g., barking to alert the handler of danger).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Situations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handler/owner is expected to follow all OLC procedures for emergency evacuation and participate in emergency evacuation drills, unless a reasonable accommodation exempting the individual from participation has been approved. Individual needs must be arranged in advance with appropriate OLC personnel.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Conditions and Restrictions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response to a particular situation, OLC reserves the right to impose other reasonable conditions or restrictions on the use of service animals and ESAs as necessary to ensure the health, safety, and reasonable enjoyment of OLC programs and activities by others.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numPr>
          <w:ilvl w:val="0"/>
          <w:numId w:val="14"/>
        </w:numPr>
        <w:spacing w:after="0" w:line="240" w:lineRule="auto"/>
        <w:ind w:left="117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Disruptive Behavior:</w:t>
      </w:r>
      <w:r w:rsidDel="00000000" w:rsidR="00000000" w:rsidRPr="00000000">
        <w:rPr>
          <w:rFonts w:ascii="Times New Roman" w:cs="Times New Roman" w:eastAsia="Times New Roman" w:hAnsi="Times New Roman"/>
          <w:rtl w:val="0"/>
        </w:rPr>
        <w:t xml:space="preserve"> The owner is responsible for ensuring that the animal does not unduly disrupt the operations of the workplace and learning environment.</w:t>
      </w:r>
    </w:p>
    <w:p w:rsidR="00000000" w:rsidDel="00000000" w:rsidP="00000000" w:rsidRDefault="00000000" w:rsidRPr="00000000" w14:paraId="000000A3">
      <w:pPr>
        <w:spacing w:after="0" w:line="240" w:lineRule="auto"/>
        <w:ind w:lef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numPr>
          <w:ilvl w:val="0"/>
          <w:numId w:val="14"/>
        </w:numPr>
        <w:spacing w:after="0" w:line="240" w:lineRule="auto"/>
        <w:ind w:left="117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animal must not unduly disrupt the employees' ability to perform their daily functions to take care of and maintain their jobs.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Grievance Procedures related to Service Animals and Emotional Support Animals </w:t>
      </w:r>
    </w:p>
    <w:p w:rsidR="00000000" w:rsidDel="00000000" w:rsidP="00000000" w:rsidRDefault="00000000" w:rsidRPr="00000000" w14:paraId="000000A7">
      <w:pPr>
        <w:spacing w:line="240" w:lineRule="auto"/>
        <w:rPr>
          <w:rFonts w:ascii="Times New Roman" w:cs="Times New Roman" w:eastAsia="Times New Roman" w:hAnsi="Times New Roman"/>
          <w:b w:val="1"/>
          <w:bCs w:val="1"/>
          <w:strike w:val="1"/>
        </w:rPr>
      </w:pPr>
      <w:r w:rsidDel="00000000" w:rsidR="00000000" w:rsidRPr="00000000">
        <w:rPr>
          <w:rFonts w:ascii="Times New Roman" w:cs="Times New Roman" w:eastAsia="Times New Roman" w:hAnsi="Times New Roman"/>
          <w:rtl w:val="0"/>
        </w:rPr>
        <w:t xml:space="preserve">If the decision is made to deny a request for or remove a service animal or an ESA, the affected individual may file an informal grievance with the Personnel pursuant to OLC Policy 65-500-1(B)(1). For purposes of this Policy, the Disabilities Services Coordinator is the person a grievance must be filed with under OLC Policy 65-500-1(B)(1)  – not the Immediate Supervisor.</w:t>
      </w: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bCs w:val="1"/>
          <w:strike w:val="1"/>
        </w:rPr>
      </w:pPr>
      <w:r w:rsidDel="00000000" w:rsidR="00000000" w:rsidRPr="00000000">
        <w:rPr>
          <w:rFonts w:ascii="Times New Roman" w:cs="Times New Roman" w:eastAsia="Times New Roman" w:hAnsi="Times New Roman"/>
          <w:rtl w:val="0"/>
        </w:rPr>
        <w:t xml:space="preserve">The affected individual has the right to appeal the decision on an informal grievance pursuant to the Employee Complaints and Grievance Procedures set forth in 65-500-1(B)(2).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3"/>
      <w:numFmt w:val="decimalZero"/>
      <w:lvlText w:val="%1.%2."/>
      <w:lvlJc w:val="left"/>
      <w:pPr>
        <w:ind w:left="1464" w:hanging="1104"/>
      </w:pPr>
      <w:rPr/>
    </w:lvl>
    <w:lvl w:ilvl="2">
      <w:start w:val="1"/>
      <w:numFmt w:val="decimalZero"/>
      <w:lvlText w:val="%1.%2.%3."/>
      <w:lvlJc w:val="left"/>
      <w:pPr>
        <w:ind w:left="1464" w:hanging="1104"/>
      </w:pPr>
      <w:rPr/>
    </w:lvl>
    <w:lvl w:ilvl="3">
      <w:start w:val="2"/>
      <w:numFmt w:val="decimalZero"/>
      <w:lvlText w:val="%1.%2.%3.%4."/>
      <w:lvlJc w:val="left"/>
      <w:pPr>
        <w:ind w:left="1464" w:hanging="1104"/>
      </w:pPr>
      <w:rPr/>
    </w:lvl>
    <w:lvl w:ilvl="4">
      <w:start w:val="1"/>
      <w:numFmt w:val="decimal"/>
      <w:lvlText w:val="%1.%2.%3.%4.%5."/>
      <w:lvlJc w:val="left"/>
      <w:pPr>
        <w:ind w:left="1464" w:hanging="1104"/>
      </w:pPr>
      <w:rPr/>
    </w:lvl>
    <w:lvl w:ilvl="5">
      <w:start w:val="1"/>
      <w:numFmt w:val="decimal"/>
      <w:lvlText w:val="%1.%2.%3.%4.%5.%6."/>
      <w:lvlJc w:val="left"/>
      <w:pPr>
        <w:ind w:left="1464" w:hanging="1104"/>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5"/>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4"/>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strike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rFonts w:ascii="Times New Roman" w:cs="Times New Roman" w:eastAsia="Times New Roman" w:hAnsi="Times New Roman"/>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lowerLetter"/>
      <w:lvlText w:val="%1."/>
      <w:lvlJc w:val="left"/>
      <w:pPr>
        <w:ind w:left="1440" w:hanging="360"/>
      </w:pPr>
      <w:rPr>
        <w:rFonts w:ascii="Times New Roman" w:cs="Times New Roman" w:eastAsia="Times New Roman" w:hAnsi="Times New Roman"/>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17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8">
    <w:lvl w:ilvl="0">
      <w:start w:val="1"/>
      <w:numFmt w:val="lowerLetter"/>
      <w:lvlText w:val="%1."/>
      <w:lvlJc w:val="left"/>
      <w:pPr>
        <w:ind w:left="1800" w:hanging="360"/>
      </w:pPr>
      <w:rPr>
        <w:b w:val="0"/>
        <w:bCs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9">
    <w:lvl w:ilvl="0">
      <w:start w:val="2"/>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5"/>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4"/>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1488" w:hanging="360"/>
      </w:pPr>
      <w:rPr/>
    </w:lvl>
    <w:lvl w:ilvl="1">
      <w:start w:val="1"/>
      <w:numFmt w:val="lowerLetter"/>
      <w:lvlText w:val="%2."/>
      <w:lvlJc w:val="left"/>
      <w:pPr>
        <w:ind w:left="2208" w:hanging="360"/>
      </w:pPr>
      <w:rPr/>
    </w:lvl>
    <w:lvl w:ilvl="2">
      <w:start w:val="1"/>
      <w:numFmt w:val="lowerRoman"/>
      <w:lvlText w:val="%3."/>
      <w:lvlJc w:val="right"/>
      <w:pPr>
        <w:ind w:left="2928" w:hanging="180"/>
      </w:pPr>
      <w:rPr/>
    </w:lvl>
    <w:lvl w:ilvl="3">
      <w:start w:val="1"/>
      <w:numFmt w:val="decimal"/>
      <w:lvlText w:val="%4."/>
      <w:lvlJc w:val="left"/>
      <w:pPr>
        <w:ind w:left="3648" w:hanging="360"/>
      </w:pPr>
      <w:rPr/>
    </w:lvl>
    <w:lvl w:ilvl="4">
      <w:start w:val="1"/>
      <w:numFmt w:val="lowerLetter"/>
      <w:lvlText w:val="%5."/>
      <w:lvlJc w:val="left"/>
      <w:pPr>
        <w:ind w:left="4368" w:hanging="360"/>
      </w:pPr>
      <w:rPr/>
    </w:lvl>
    <w:lvl w:ilvl="5">
      <w:start w:val="1"/>
      <w:numFmt w:val="lowerRoman"/>
      <w:lvlText w:val="%6."/>
      <w:lvlJc w:val="right"/>
      <w:pPr>
        <w:ind w:left="5088" w:hanging="180"/>
      </w:pPr>
      <w:rPr/>
    </w:lvl>
    <w:lvl w:ilvl="6">
      <w:start w:val="1"/>
      <w:numFmt w:val="decimal"/>
      <w:lvlText w:val="%7."/>
      <w:lvlJc w:val="left"/>
      <w:pPr>
        <w:ind w:left="5808" w:hanging="360"/>
      </w:pPr>
      <w:rPr/>
    </w:lvl>
    <w:lvl w:ilvl="7">
      <w:start w:val="1"/>
      <w:numFmt w:val="lowerLetter"/>
      <w:lvlText w:val="%8."/>
      <w:lvlJc w:val="left"/>
      <w:pPr>
        <w:ind w:left="6528" w:hanging="360"/>
      </w:pPr>
      <w:rPr/>
    </w:lvl>
    <w:lvl w:ilvl="8">
      <w:start w:val="1"/>
      <w:numFmt w:val="lowerRoman"/>
      <w:lvlText w:val="%9."/>
      <w:lvlJc w:val="right"/>
      <w:pPr>
        <w:ind w:left="724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0935A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935A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935A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935A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935A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935A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935A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935A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935A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935A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935A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935A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935A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935A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935A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935A5"/>
    <w:rPr>
      <w:i w:val="1"/>
      <w:iCs w:val="1"/>
      <w:color w:val="404040" w:themeColor="text1" w:themeTint="0000BF"/>
    </w:rPr>
  </w:style>
  <w:style w:type="paragraph" w:styleId="ListParagraph">
    <w:name w:val="List Paragraph"/>
    <w:basedOn w:val="Normal"/>
    <w:uiPriority w:val="34"/>
    <w:qFormat w:val="1"/>
    <w:rsid w:val="000935A5"/>
    <w:pPr>
      <w:ind w:left="720"/>
      <w:contextualSpacing w:val="1"/>
    </w:pPr>
  </w:style>
  <w:style w:type="character" w:styleId="IntenseEmphasis">
    <w:name w:val="Intense Emphasis"/>
    <w:basedOn w:val="DefaultParagraphFont"/>
    <w:uiPriority w:val="21"/>
    <w:qFormat w:val="1"/>
    <w:rsid w:val="000935A5"/>
    <w:rPr>
      <w:i w:val="1"/>
      <w:iCs w:val="1"/>
      <w:color w:val="0f4761" w:themeColor="accent1" w:themeShade="0000BF"/>
    </w:rPr>
  </w:style>
  <w:style w:type="paragraph" w:styleId="IntenseQuote">
    <w:name w:val="Intense Quote"/>
    <w:basedOn w:val="Normal"/>
    <w:next w:val="Normal"/>
    <w:link w:val="IntenseQuoteChar"/>
    <w:uiPriority w:val="30"/>
    <w:qFormat w:val="1"/>
    <w:rsid w:val="000935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935A5"/>
    <w:rPr>
      <w:i w:val="1"/>
      <w:iCs w:val="1"/>
      <w:color w:val="0f4761" w:themeColor="accent1" w:themeShade="0000BF"/>
    </w:rPr>
  </w:style>
  <w:style w:type="character" w:styleId="IntenseReference">
    <w:name w:val="Intense Reference"/>
    <w:basedOn w:val="DefaultParagraphFont"/>
    <w:uiPriority w:val="32"/>
    <w:qFormat w:val="1"/>
    <w:rsid w:val="000935A5"/>
    <w:rPr>
      <w:b w:val="1"/>
      <w:bCs w:val="1"/>
      <w:smallCaps w:val="1"/>
      <w:color w:val="0f4761" w:themeColor="accent1" w:themeShade="0000BF"/>
      <w:spacing w:val="5"/>
    </w:rPr>
  </w:style>
  <w:style w:type="paragraph" w:styleId="Default" w:customStyle="1">
    <w:name w:val="Default"/>
    <w:rsid w:val="00AB2ED6"/>
    <w:pPr>
      <w:autoSpaceDE w:val="0"/>
      <w:autoSpaceDN w:val="0"/>
      <w:adjustRightInd w:val="0"/>
      <w:spacing w:after="0" w:line="240" w:lineRule="auto"/>
    </w:pPr>
    <w:rPr>
      <w:rFonts w:ascii="Times New Roman" w:cs="Times New Roman" w:hAnsi="Times New Roman"/>
      <w:color w:val="000000"/>
      <w:kern w:val="0"/>
    </w:rPr>
  </w:style>
  <w:style w:type="paragraph" w:styleId="Revision">
    <w:name w:val="Revision"/>
    <w:hidden w:val="1"/>
    <w:uiPriority w:val="99"/>
    <w:semiHidden w:val="1"/>
    <w:rsid w:val="003E14E4"/>
    <w:pPr>
      <w:spacing w:after="0" w:line="240" w:lineRule="auto"/>
    </w:pPr>
  </w:style>
  <w:style w:type="character" w:styleId="CommentReference">
    <w:name w:val="annotation reference"/>
    <w:basedOn w:val="DefaultParagraphFont"/>
    <w:uiPriority w:val="99"/>
    <w:semiHidden w:val="1"/>
    <w:unhideWhenUsed w:val="1"/>
    <w:rsid w:val="00A71D3A"/>
    <w:rPr>
      <w:sz w:val="16"/>
      <w:szCs w:val="16"/>
    </w:rPr>
  </w:style>
  <w:style w:type="paragraph" w:styleId="CommentText">
    <w:name w:val="annotation text"/>
    <w:basedOn w:val="Normal"/>
    <w:link w:val="CommentTextChar"/>
    <w:uiPriority w:val="99"/>
    <w:unhideWhenUsed w:val="1"/>
    <w:rsid w:val="00A71D3A"/>
    <w:pPr>
      <w:spacing w:line="240" w:lineRule="auto"/>
    </w:pPr>
    <w:rPr>
      <w:sz w:val="20"/>
      <w:szCs w:val="20"/>
    </w:rPr>
  </w:style>
  <w:style w:type="character" w:styleId="CommentTextChar" w:customStyle="1">
    <w:name w:val="Comment Text Char"/>
    <w:basedOn w:val="DefaultParagraphFont"/>
    <w:link w:val="CommentText"/>
    <w:uiPriority w:val="99"/>
    <w:rsid w:val="00A71D3A"/>
    <w:rPr>
      <w:sz w:val="20"/>
      <w:szCs w:val="20"/>
    </w:rPr>
  </w:style>
  <w:style w:type="paragraph" w:styleId="CommentSubject">
    <w:name w:val="annotation subject"/>
    <w:basedOn w:val="CommentText"/>
    <w:next w:val="CommentText"/>
    <w:link w:val="CommentSubjectChar"/>
    <w:uiPriority w:val="99"/>
    <w:semiHidden w:val="1"/>
    <w:unhideWhenUsed w:val="1"/>
    <w:rsid w:val="00A71D3A"/>
    <w:rPr>
      <w:b w:val="1"/>
      <w:bCs w:val="1"/>
    </w:rPr>
  </w:style>
  <w:style w:type="character" w:styleId="CommentSubjectChar" w:customStyle="1">
    <w:name w:val="Comment Subject Char"/>
    <w:basedOn w:val="CommentTextChar"/>
    <w:link w:val="CommentSubject"/>
    <w:uiPriority w:val="99"/>
    <w:semiHidden w:val="1"/>
    <w:rsid w:val="00A71D3A"/>
    <w:rPr>
      <w:b w:val="1"/>
      <w:bCs w:val="1"/>
      <w:sz w:val="20"/>
      <w:szCs w:val="20"/>
    </w:rPr>
  </w:style>
  <w:style w:type="character" w:styleId="Hyperlink">
    <w:name w:val="Hyperlink"/>
    <w:basedOn w:val="DefaultParagraphFont"/>
    <w:uiPriority w:val="99"/>
    <w:unhideWhenUsed w:val="1"/>
    <w:rsid w:val="00A90305"/>
    <w:rPr>
      <w:color w:val="467886" w:themeColor="hyperlink"/>
      <w:u w:val="single"/>
    </w:rPr>
  </w:style>
  <w:style w:type="character" w:styleId="UnresolvedMention">
    <w:name w:val="Unresolved Mention"/>
    <w:basedOn w:val="DefaultParagraphFont"/>
    <w:uiPriority w:val="99"/>
    <w:semiHidden w:val="1"/>
    <w:unhideWhenUsed w:val="1"/>
    <w:rsid w:val="00A90305"/>
    <w:rPr>
      <w:color w:val="605e5c"/>
      <w:shd w:color="auto" w:fill="e1dfdd" w:val="clear"/>
    </w:rPr>
  </w:style>
  <w:style w:type="paragraph" w:styleId="NormalWeb">
    <w:name w:val="Normal (Web)"/>
    <w:basedOn w:val="Normal"/>
    <w:uiPriority w:val="99"/>
    <w:semiHidden w:val="1"/>
    <w:unhideWhenUsed w:val="1"/>
    <w:rsid w:val="00DC463E"/>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cNDHkc2qhGkEm5usp67X/8sg==">CgMxLjA4AHIhMU54SzZXZDN5Nm9iUktKcW5nSXlQS2JkakxBS3ZBRkZT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2025-10-27T14:19:00Z</dcterms:created>
  <dc:creator>Miranda Padilla</dc:creator>
</cp:coreProperties>
</file>